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C2813" w:rsidRPr="001674CE" w:rsidTr="006C2813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6C2813" w:rsidP="00BB0282">
            <w:pPr>
              <w:ind w:left="709"/>
              <w:rPr>
                <w:rFonts w:ascii="Century Gothic" w:hAnsi="Century Gothic"/>
                <w:b/>
              </w:rPr>
            </w:pPr>
            <w:r w:rsidRPr="001674CE">
              <w:rPr>
                <w:rFonts w:ascii="Century Gothic" w:hAnsi="Century Gothic"/>
                <w:b/>
                <w:sz w:val="96"/>
              </w:rPr>
              <w:t>Gleichbehandlung</w:t>
            </w:r>
          </w:p>
        </w:tc>
        <w:bookmarkStart w:id="0" w:name="_GoBack"/>
        <w:bookmarkEnd w:id="0"/>
      </w:tr>
      <w:tr w:rsidR="006C2813" w:rsidRPr="001674CE" w:rsidTr="006C2813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>
            <w:pPr>
              <w:rPr>
                <w:rFonts w:ascii="Century Gothic" w:hAnsi="Century Gothic"/>
              </w:rPr>
            </w:pPr>
          </w:p>
        </w:tc>
      </w:tr>
      <w:tr w:rsidR="006C2813" w:rsidRPr="001674CE" w:rsidTr="006C2813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>
            <w:pPr>
              <w:rPr>
                <w:rFonts w:ascii="Century Gothic" w:hAnsi="Century Gothic"/>
              </w:rPr>
            </w:pPr>
          </w:p>
        </w:tc>
      </w:tr>
      <w:tr w:rsidR="006C2813" w:rsidRPr="001674CE" w:rsidTr="006C2813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1674CE" w:rsidRPr="001674CE" w:rsidRDefault="001674CE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Gesundheit</w:t>
            </w:r>
          </w:p>
        </w:tc>
      </w:tr>
      <w:tr w:rsidR="006C2813" w:rsidRPr="001674CE" w:rsidTr="006C2813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6C2813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6C2813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Bildung</w:t>
            </w:r>
          </w:p>
        </w:tc>
      </w:tr>
      <w:tr w:rsidR="006C2813" w:rsidRPr="001674CE" w:rsidTr="006C2813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</w:tbl>
    <w:p w:rsidR="006C2813" w:rsidRPr="001674CE" w:rsidRDefault="006C2813">
      <w:pPr>
        <w:rPr>
          <w:rFonts w:ascii="Century Gothic" w:hAnsi="Century Gothic"/>
          <w:sz w:val="2"/>
          <w:szCs w:val="2"/>
        </w:rPr>
      </w:pPr>
    </w:p>
    <w:p w:rsidR="006C2813" w:rsidRPr="001674CE" w:rsidRDefault="006C2813">
      <w:pPr>
        <w:rPr>
          <w:rFonts w:ascii="Century Gothic" w:hAnsi="Century Gothic"/>
          <w:sz w:val="2"/>
          <w:szCs w:val="2"/>
        </w:rPr>
      </w:pPr>
      <w:r w:rsidRPr="001674CE">
        <w:rPr>
          <w:rFonts w:ascii="Century Gothic" w:hAnsi="Century Gothic"/>
          <w:sz w:val="2"/>
          <w:szCs w:val="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lastRenderedPageBreak/>
              <w:t>Das Recht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96"/>
              </w:rPr>
              <w:t>Information und freie Meinungsäußerung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6C2813" w:rsidP="00BB0282">
            <w:pPr>
              <w:ind w:left="709"/>
              <w:rPr>
                <w:rFonts w:ascii="Century Gothic" w:hAnsi="Century Gothic"/>
              </w:rPr>
            </w:pPr>
            <w:r w:rsidRPr="001674CE">
              <w:rPr>
                <w:rFonts w:ascii="Century Gothic" w:hAnsi="Century Gothic"/>
                <w:b/>
                <w:sz w:val="96"/>
              </w:rPr>
              <w:t>Freizeit, Spiel</w:t>
            </w:r>
            <w:r w:rsidR="00BB0282">
              <w:rPr>
                <w:rFonts w:ascii="Century Gothic" w:hAnsi="Century Gothic"/>
                <w:b/>
                <w:sz w:val="96"/>
              </w:rPr>
              <w:t>en</w:t>
            </w:r>
            <w:r w:rsidRPr="001674CE">
              <w:rPr>
                <w:rFonts w:ascii="Century Gothic" w:hAnsi="Century Gothic"/>
                <w:b/>
                <w:sz w:val="96"/>
              </w:rPr>
              <w:t xml:space="preserve"> und Erholung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</w:t>
            </w:r>
            <w:r w:rsidR="00BB0282">
              <w:rPr>
                <w:rFonts w:ascii="Century Gothic" w:hAnsi="Century Gothic"/>
                <w:sz w:val="72"/>
              </w:rPr>
              <w:t xml:space="preserve">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Elterliche Fürsorge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</w:tbl>
    <w:p w:rsidR="006C2813" w:rsidRPr="001674CE" w:rsidRDefault="006C2813">
      <w:pPr>
        <w:rPr>
          <w:rFonts w:ascii="Century Gothic" w:hAnsi="Century Gothic"/>
          <w:sz w:val="2"/>
          <w:szCs w:val="2"/>
        </w:rPr>
      </w:pPr>
    </w:p>
    <w:p w:rsidR="006C2813" w:rsidRPr="001674CE" w:rsidRDefault="006C2813">
      <w:pPr>
        <w:rPr>
          <w:rFonts w:ascii="Century Gothic" w:hAnsi="Century Gothic"/>
          <w:sz w:val="2"/>
          <w:szCs w:val="2"/>
        </w:rPr>
      </w:pPr>
      <w:r w:rsidRPr="001674CE">
        <w:rPr>
          <w:rFonts w:ascii="Century Gothic" w:hAnsi="Century Gothic"/>
          <w:sz w:val="2"/>
          <w:szCs w:val="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lastRenderedPageBreak/>
              <w:t>Das Recht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96"/>
              </w:rPr>
              <w:t>Gewaltfreie Erziehung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Schutz im Krieg und auf der Flucht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Schutz vor Ausbeutung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</w:tbl>
    <w:p w:rsidR="006C2813" w:rsidRPr="001674CE" w:rsidRDefault="006C2813">
      <w:pPr>
        <w:rPr>
          <w:rFonts w:ascii="Century Gothic" w:hAnsi="Century Gothic"/>
          <w:sz w:val="2"/>
          <w:szCs w:val="2"/>
        </w:rPr>
      </w:pPr>
    </w:p>
    <w:p w:rsidR="006C2813" w:rsidRPr="001674CE" w:rsidRDefault="006C2813">
      <w:pPr>
        <w:rPr>
          <w:rFonts w:ascii="Century Gothic" w:hAnsi="Century Gothic"/>
          <w:sz w:val="2"/>
          <w:szCs w:val="2"/>
        </w:rPr>
      </w:pPr>
      <w:r w:rsidRPr="001674CE">
        <w:rPr>
          <w:rFonts w:ascii="Century Gothic" w:hAnsi="Century Gothic"/>
          <w:sz w:val="2"/>
          <w:szCs w:val="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lastRenderedPageBreak/>
              <w:t>Das Recht auf</w:t>
            </w:r>
          </w:p>
          <w:p w:rsidR="006C2813" w:rsidRPr="001674CE" w:rsidRDefault="007002E7" w:rsidP="00BB0282">
            <w:pPr>
              <w:ind w:left="70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96"/>
              </w:rPr>
              <w:t>G</w:t>
            </w:r>
            <w:r w:rsidR="00BA0398" w:rsidRPr="001674CE">
              <w:rPr>
                <w:rFonts w:ascii="Century Gothic" w:hAnsi="Century Gothic"/>
                <w:b/>
                <w:sz w:val="96"/>
              </w:rPr>
              <w:t>leiche Chancen bei Behinderung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</w:tbl>
    <w:p w:rsidR="00AB736B" w:rsidRDefault="0070756A">
      <w:pPr>
        <w:rPr>
          <w:rFonts w:ascii="Century Gothic" w:hAnsi="Century Gothic"/>
          <w:sz w:val="2"/>
          <w:szCs w:val="2"/>
        </w:rPr>
      </w:pPr>
    </w:p>
    <w:p w:rsidR="00603511" w:rsidRDefault="00603511">
      <w:pPr>
        <w:rPr>
          <w:rFonts w:ascii="Century Gothic" w:hAnsi="Century Gothic"/>
          <w:sz w:val="2"/>
          <w:szCs w:val="2"/>
        </w:rPr>
      </w:pPr>
    </w:p>
    <w:p w:rsidR="00603511" w:rsidRDefault="00603511">
      <w:pPr>
        <w:rPr>
          <w:rFonts w:ascii="Century Gothic" w:hAnsi="Century Gothic"/>
          <w:sz w:val="2"/>
          <w:szCs w:val="2"/>
        </w:rPr>
      </w:pPr>
    </w:p>
    <w:p w:rsidR="00603511" w:rsidRDefault="00603511">
      <w:pPr>
        <w:rPr>
          <w:rFonts w:ascii="Century Gothic" w:hAnsi="Century Gothic"/>
          <w:sz w:val="2"/>
          <w:szCs w:val="2"/>
        </w:rPr>
        <w:sectPr w:rsidR="00603511" w:rsidSect="0070756A">
          <w:footerReference w:type="default" r:id="rId7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03511" w:rsidRPr="002237D6" w:rsidRDefault="00603511" w:rsidP="00603511">
      <w:pPr>
        <w:rPr>
          <w:rFonts w:ascii="Century Gothic" w:hAnsi="Century Gothic"/>
          <w:b/>
          <w:sz w:val="20"/>
          <w:szCs w:val="20"/>
        </w:rPr>
      </w:pPr>
      <w:r w:rsidRPr="002237D6">
        <w:rPr>
          <w:rFonts w:ascii="Century Gothic" w:hAnsi="Century Gothic"/>
          <w:b/>
          <w:sz w:val="20"/>
          <w:szCs w:val="20"/>
        </w:rPr>
        <w:lastRenderedPageBreak/>
        <w:t>Information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603511" w:rsidRPr="002237D6" w:rsidTr="003B03E8">
        <w:tc>
          <w:tcPr>
            <w:tcW w:w="209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Name:</w:t>
            </w:r>
          </w:p>
        </w:tc>
        <w:tc>
          <w:tcPr>
            <w:tcW w:w="7119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Kinderrechte – Tafelkarten</w:t>
            </w:r>
          </w:p>
        </w:tc>
      </w:tr>
      <w:tr w:rsidR="00603511" w:rsidRPr="002237D6" w:rsidTr="003B03E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Autor: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Johannes Kübler</w:t>
            </w:r>
          </w:p>
        </w:tc>
      </w:tr>
      <w:tr w:rsidR="00603511" w:rsidRPr="002237D6" w:rsidTr="003B03E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Lizenz: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 xml:space="preserve">Die Datei wurde vom Autor in die Gemeinfreiheit - auch Public Domain genannt – entlassen. </w:t>
            </w:r>
          </w:p>
          <w:p w:rsidR="00603511" w:rsidRPr="002237D6" w:rsidRDefault="00603511" w:rsidP="003B03E8">
            <w:pPr>
              <w:rPr>
                <w:rStyle w:val="Hyperlink"/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 xml:space="preserve">Den rechtsverbindlichen Lizenzvertrag finden Sie unter </w:t>
            </w:r>
            <w:hyperlink r:id="rId8" w:history="1">
              <w:r w:rsidRPr="002237D6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https://creativecommons.org/publicdomain/zero/1.0/deed.de</w:t>
              </w:r>
            </w:hyperlink>
          </w:p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noProof/>
                <w:lang w:eastAsia="de-DE"/>
              </w:rPr>
              <w:drawing>
                <wp:inline distT="0" distB="0" distL="0" distR="0" wp14:anchorId="354B4012" wp14:editId="22E5B7DA">
                  <wp:extent cx="900000" cy="317122"/>
                  <wp:effectExtent l="0" t="0" r="0" b="6985"/>
                  <wp:docPr id="1" name="Grafik 1" descr="https://mirrors.creativecommons.org/presskit/buttons/88x31/png/cc-z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rrors.creativecommons.org/presskit/buttons/88x31/png/cc-z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31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511" w:rsidRPr="002237D6" w:rsidTr="003B03E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 xml:space="preserve">Quelle: 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eigene Arbeit</w:t>
            </w:r>
          </w:p>
          <w:p w:rsidR="00603511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Die Zusammenfassung der insgesamt 54 Artikel der Kinderrechtskonvention erfolgte auf Grundlage eines Posters von UNICEF (</w:t>
            </w:r>
            <w:hyperlink r:id="rId10" w:history="1">
              <w:r w:rsidRPr="00C86A03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https://www.unicef.de/informieren/materialien/zehn-kinderrechte/57310</w:t>
              </w:r>
            </w:hyperlink>
            <w:r>
              <w:rPr>
                <w:rFonts w:ascii="Century Gothic" w:hAnsi="Century Gothic"/>
                <w:sz w:val="16"/>
                <w:szCs w:val="16"/>
              </w:rPr>
              <w:t xml:space="preserve">) </w:t>
            </w:r>
          </w:p>
        </w:tc>
      </w:tr>
      <w:tr w:rsidR="00603511" w:rsidRPr="002237D6" w:rsidTr="003B03E8">
        <w:tc>
          <w:tcPr>
            <w:tcW w:w="2093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Bildnachweise:</w:t>
            </w:r>
          </w:p>
        </w:tc>
        <w:tc>
          <w:tcPr>
            <w:tcW w:w="7119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603511" w:rsidRDefault="00827F3A" w:rsidP="0060351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keine</w:t>
            </w:r>
          </w:p>
        </w:tc>
      </w:tr>
    </w:tbl>
    <w:p w:rsidR="00603511" w:rsidRPr="00603511" w:rsidRDefault="00603511" w:rsidP="00603511">
      <w:pPr>
        <w:rPr>
          <w:rFonts w:ascii="Century Gothic" w:hAnsi="Century Gothic"/>
          <w:sz w:val="24"/>
          <w:szCs w:val="24"/>
        </w:rPr>
      </w:pPr>
    </w:p>
    <w:sectPr w:rsidR="00603511" w:rsidRPr="00603511" w:rsidSect="00603511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3A" w:rsidRDefault="00827F3A" w:rsidP="00827F3A">
      <w:pPr>
        <w:spacing w:after="0" w:line="240" w:lineRule="auto"/>
      </w:pPr>
      <w:r>
        <w:separator/>
      </w:r>
    </w:p>
  </w:endnote>
  <w:endnote w:type="continuationSeparator" w:id="0">
    <w:p w:rsidR="00827F3A" w:rsidRDefault="00827F3A" w:rsidP="0082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F3A" w:rsidRDefault="00827F3A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3A" w:rsidRDefault="00827F3A" w:rsidP="00827F3A">
      <w:pPr>
        <w:spacing w:after="0" w:line="240" w:lineRule="auto"/>
      </w:pPr>
      <w:r>
        <w:separator/>
      </w:r>
    </w:p>
  </w:footnote>
  <w:footnote w:type="continuationSeparator" w:id="0">
    <w:p w:rsidR="00827F3A" w:rsidRDefault="00827F3A" w:rsidP="00827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00D57"/>
    <w:multiLevelType w:val="hybridMultilevel"/>
    <w:tmpl w:val="85300B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13"/>
    <w:rsid w:val="00000496"/>
    <w:rsid w:val="001674CE"/>
    <w:rsid w:val="003337EA"/>
    <w:rsid w:val="00377A33"/>
    <w:rsid w:val="00603511"/>
    <w:rsid w:val="006C2813"/>
    <w:rsid w:val="007002E7"/>
    <w:rsid w:val="0070756A"/>
    <w:rsid w:val="007E7746"/>
    <w:rsid w:val="00827F3A"/>
    <w:rsid w:val="00AD02A3"/>
    <w:rsid w:val="00BA0398"/>
    <w:rsid w:val="00BB0282"/>
    <w:rsid w:val="00F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E41E0A7-6C02-45BE-A81C-41F543F7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C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351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0351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F3A"/>
  </w:style>
  <w:style w:type="paragraph" w:styleId="Fuzeile">
    <w:name w:val="footer"/>
    <w:basedOn w:val="Standard"/>
    <w:link w:val="FuzeileZchn"/>
    <w:uiPriority w:val="99"/>
    <w:unhideWhenUsed/>
    <w:rsid w:val="0082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publicdomain/zero/1.0/deed.d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nicef.de/informieren/materialien/zehn-kinderrechte/573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488F4EE0.dotm</Template>
  <TotalTime>0</TotalTime>
  <Pages>5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Johannes Kübler</cp:lastModifiedBy>
  <cp:revision>7</cp:revision>
  <dcterms:created xsi:type="dcterms:W3CDTF">2018-03-01T22:03:00Z</dcterms:created>
  <dcterms:modified xsi:type="dcterms:W3CDTF">2018-03-07T08:10:00Z</dcterms:modified>
</cp:coreProperties>
</file>